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9D" w:rsidRPr="0079003B" w:rsidRDefault="0082349D" w:rsidP="00422F18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9003B">
        <w:rPr>
          <w:rFonts w:asciiTheme="majorBidi" w:hAnsiTheme="majorBidi" w:cstheme="majorBidi"/>
          <w:b/>
          <w:bCs/>
          <w:sz w:val="28"/>
          <w:szCs w:val="28"/>
        </w:rPr>
        <w:t>ÇANAKKALE ANADOLU İMAM HATİP LİSESİ</w:t>
      </w:r>
    </w:p>
    <w:p w:rsidR="00422F18" w:rsidRPr="0079003B" w:rsidRDefault="0082349D" w:rsidP="00422F18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9003B">
        <w:rPr>
          <w:rFonts w:asciiTheme="majorBidi" w:hAnsiTheme="majorBidi" w:cstheme="majorBidi"/>
          <w:b/>
          <w:bCs/>
          <w:sz w:val="28"/>
          <w:szCs w:val="28"/>
        </w:rPr>
        <w:t xml:space="preserve">HEDEF 2025 YKS AKADEMİK TAKİP KOMİSYONU </w:t>
      </w:r>
    </w:p>
    <w:p w:rsidR="0082349D" w:rsidRDefault="0082349D" w:rsidP="00422F18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9003B">
        <w:rPr>
          <w:rFonts w:asciiTheme="majorBidi" w:hAnsiTheme="majorBidi" w:cstheme="majorBidi"/>
          <w:b/>
          <w:bCs/>
          <w:sz w:val="28"/>
          <w:szCs w:val="28"/>
        </w:rPr>
        <w:t>TOPLANTI TUTANAĞI</w:t>
      </w:r>
    </w:p>
    <w:p w:rsidR="0079003B" w:rsidRPr="0079003B" w:rsidRDefault="0079003B" w:rsidP="00422F18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</w:rPr>
      </w:pPr>
    </w:p>
    <w:p w:rsidR="0082349D" w:rsidRPr="0079003B" w:rsidRDefault="0082349D" w:rsidP="00422F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</w:rPr>
      </w:pPr>
      <w:r w:rsidRPr="0079003B">
        <w:rPr>
          <w:rFonts w:asciiTheme="majorBidi" w:hAnsiTheme="majorBidi" w:cstheme="majorBidi"/>
        </w:rPr>
        <w:t>Din öğretimine bağlı okullarda uygulanan Hedef-2025 Projesi kapsamında okulumuzda akademik takip komisyonu oluşturulmuştur. Okul yönetimi ve akademik takip komisyonu tarafından okul YKS eylem planı oluşturulmuş, ayrıca 12. Sınıfların dersine giren ve DYK kursları</w:t>
      </w:r>
      <w:r w:rsidR="007B529E" w:rsidRPr="0079003B">
        <w:rPr>
          <w:rFonts w:asciiTheme="majorBidi" w:hAnsiTheme="majorBidi" w:cstheme="majorBidi"/>
        </w:rPr>
        <w:t xml:space="preserve">nda görevli olan öğretmenlere </w:t>
      </w:r>
      <w:r w:rsidR="00F60000" w:rsidRPr="0079003B">
        <w:rPr>
          <w:rFonts w:asciiTheme="majorBidi" w:hAnsiTheme="majorBidi" w:cstheme="majorBidi"/>
        </w:rPr>
        <w:t>16.09.2024</w:t>
      </w:r>
      <w:r w:rsidRPr="0079003B">
        <w:rPr>
          <w:rFonts w:asciiTheme="majorBidi" w:hAnsiTheme="majorBidi" w:cstheme="majorBidi"/>
        </w:rPr>
        <w:t xml:space="preserve"> tarihinde Hedef YKS koordinatörü tarafından Hedef YKS 2024 tanıtım sunusunun gerçekleştirilmiştir.</w:t>
      </w:r>
    </w:p>
    <w:p w:rsidR="0082349D" w:rsidRPr="0079003B" w:rsidRDefault="0082349D" w:rsidP="00422F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bookmarkStart w:id="0" w:name="_GoBack"/>
      <w:bookmarkEnd w:id="0"/>
    </w:p>
    <w:p w:rsidR="0082349D" w:rsidRPr="0079003B" w:rsidRDefault="0082349D" w:rsidP="00422F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</w:p>
    <w:p w:rsidR="0082349D" w:rsidRDefault="0079003B" w:rsidP="0079003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sz w:val="28"/>
          <w:szCs w:val="28"/>
        </w:rPr>
      </w:pPr>
      <w:r w:rsidRPr="0079003B">
        <w:rPr>
          <w:rFonts w:asciiTheme="majorBidi" w:hAnsiTheme="majorBidi" w:cstheme="majorBidi"/>
          <w:b/>
          <w:sz w:val="28"/>
          <w:szCs w:val="28"/>
        </w:rPr>
        <w:t>Toplant</w:t>
      </w:r>
      <w:r>
        <w:rPr>
          <w:rFonts w:asciiTheme="majorBidi" w:hAnsiTheme="majorBidi" w:cstheme="majorBidi"/>
          <w:b/>
          <w:sz w:val="28"/>
          <w:szCs w:val="28"/>
        </w:rPr>
        <w:t>ıda Alınan Kararlar:</w:t>
      </w:r>
    </w:p>
    <w:p w:rsidR="0079003B" w:rsidRPr="0079003B" w:rsidRDefault="0079003B" w:rsidP="0079003B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2349D" w:rsidRPr="0079003B" w:rsidRDefault="0082349D" w:rsidP="0079003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9003B">
        <w:rPr>
          <w:rFonts w:asciiTheme="majorBidi" w:hAnsiTheme="majorBidi" w:cstheme="majorBidi"/>
        </w:rPr>
        <w:t xml:space="preserve">Üniversiteye hazırlık çalışmaları ve Hedef-2025 projesi kapsamında </w:t>
      </w:r>
      <w:r w:rsidR="00422F18" w:rsidRPr="0079003B">
        <w:rPr>
          <w:rFonts w:asciiTheme="majorBidi" w:hAnsiTheme="majorBidi" w:cstheme="majorBidi"/>
        </w:rPr>
        <w:t>Fizik Öğretmeni İsmail AYKUT’UN</w:t>
      </w:r>
      <w:r w:rsidRPr="0079003B">
        <w:rPr>
          <w:rFonts w:asciiTheme="majorBidi" w:hAnsiTheme="majorBidi" w:cstheme="majorBidi"/>
        </w:rPr>
        <w:t xml:space="preserve"> koordinatör olarak belirlenmesi.</w:t>
      </w:r>
    </w:p>
    <w:p w:rsidR="0082349D" w:rsidRPr="0079003B" w:rsidRDefault="0082349D" w:rsidP="0079003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9003B">
        <w:rPr>
          <w:rFonts w:asciiTheme="majorBidi" w:hAnsiTheme="majorBidi" w:cstheme="majorBidi"/>
        </w:rPr>
        <w:t>Akademik takip komisyonu tarafından YKS eylem planı oluşturulması,</w:t>
      </w:r>
    </w:p>
    <w:p w:rsidR="0082349D" w:rsidRPr="0079003B" w:rsidRDefault="0082349D" w:rsidP="0079003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9003B">
        <w:rPr>
          <w:rFonts w:asciiTheme="majorBidi" w:hAnsiTheme="majorBidi" w:cstheme="majorBidi"/>
        </w:rPr>
        <w:t>KTS ile üniversiteye hazırlık bölümü veri girişlerinin zamanında yapılması,</w:t>
      </w:r>
    </w:p>
    <w:p w:rsidR="0082349D" w:rsidRPr="0079003B" w:rsidRDefault="0082349D" w:rsidP="0079003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9003B">
        <w:rPr>
          <w:rFonts w:asciiTheme="majorBidi" w:hAnsiTheme="majorBidi" w:cstheme="majorBidi"/>
        </w:rPr>
        <w:t>Eğitim koçluğu çalışmalarının planlanması ve sınıf öğretmeni tarafından koçluk dosyasında</w:t>
      </w:r>
      <w:r w:rsidR="00422F18" w:rsidRPr="0079003B">
        <w:rPr>
          <w:rFonts w:asciiTheme="majorBidi" w:hAnsiTheme="majorBidi" w:cstheme="majorBidi"/>
        </w:rPr>
        <w:t xml:space="preserve"> </w:t>
      </w:r>
      <w:r w:rsidRPr="0079003B">
        <w:rPr>
          <w:rFonts w:asciiTheme="majorBidi" w:hAnsiTheme="majorBidi" w:cstheme="majorBidi"/>
        </w:rPr>
        <w:t>öğrenci evraklarının muhafaza edilmesi,</w:t>
      </w:r>
    </w:p>
    <w:p w:rsidR="0082349D" w:rsidRPr="0079003B" w:rsidRDefault="0082349D" w:rsidP="0079003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9003B">
        <w:rPr>
          <w:rFonts w:asciiTheme="majorBidi" w:hAnsiTheme="majorBidi" w:cstheme="majorBidi"/>
        </w:rPr>
        <w:t>Üniversiteye hazırlık çalışmaları kapsamında öğretmen, öğrenci ve velilerden sürekli görüş ve</w:t>
      </w:r>
      <w:r w:rsidR="00422F18" w:rsidRPr="0079003B">
        <w:rPr>
          <w:rFonts w:asciiTheme="majorBidi" w:hAnsiTheme="majorBidi" w:cstheme="majorBidi"/>
        </w:rPr>
        <w:t xml:space="preserve"> </w:t>
      </w:r>
      <w:r w:rsidRPr="0079003B">
        <w:rPr>
          <w:rFonts w:asciiTheme="majorBidi" w:hAnsiTheme="majorBidi" w:cstheme="majorBidi"/>
        </w:rPr>
        <w:t>öneriler alınması,</w:t>
      </w:r>
    </w:p>
    <w:p w:rsidR="0082349D" w:rsidRPr="0079003B" w:rsidRDefault="0082349D" w:rsidP="0079003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9003B">
        <w:rPr>
          <w:rFonts w:asciiTheme="majorBidi" w:hAnsiTheme="majorBidi" w:cstheme="majorBidi"/>
        </w:rPr>
        <w:t>Üniversite tanıtımları ve alan bilgilendirme faaliyetleri kapsamında mesleki tanıtım ve kariyer</w:t>
      </w:r>
      <w:r w:rsidR="00422F18" w:rsidRPr="0079003B">
        <w:rPr>
          <w:rFonts w:asciiTheme="majorBidi" w:hAnsiTheme="majorBidi" w:cstheme="majorBidi"/>
        </w:rPr>
        <w:t xml:space="preserve"> </w:t>
      </w:r>
      <w:r w:rsidRPr="0079003B">
        <w:rPr>
          <w:rFonts w:asciiTheme="majorBidi" w:hAnsiTheme="majorBidi" w:cstheme="majorBidi"/>
        </w:rPr>
        <w:t>günlerinin yapılması, alanında uzmanlaşmış, mesle</w:t>
      </w:r>
      <w:r w:rsidR="00422F18" w:rsidRPr="0079003B">
        <w:rPr>
          <w:rFonts w:asciiTheme="majorBidi" w:hAnsiTheme="majorBidi" w:cstheme="majorBidi"/>
        </w:rPr>
        <w:t xml:space="preserve">k sahibi kişilerin öğrencilerle </w:t>
      </w:r>
      <w:r w:rsidRPr="0079003B">
        <w:rPr>
          <w:rFonts w:asciiTheme="majorBidi" w:hAnsiTheme="majorBidi" w:cstheme="majorBidi"/>
        </w:rPr>
        <w:t>buluşturulması,</w:t>
      </w:r>
    </w:p>
    <w:p w:rsidR="0082349D" w:rsidRPr="0079003B" w:rsidRDefault="0082349D" w:rsidP="0079003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9003B">
        <w:rPr>
          <w:rFonts w:asciiTheme="majorBidi" w:hAnsiTheme="majorBidi" w:cstheme="majorBidi"/>
        </w:rPr>
        <w:t xml:space="preserve">YSK’de başarılı olmuş öğrencilerle sınava çalışan öğrencilerinin buluşturulması ve </w:t>
      </w:r>
      <w:proofErr w:type="gramStart"/>
      <w:r w:rsidRPr="0079003B">
        <w:rPr>
          <w:rFonts w:asciiTheme="majorBidi" w:hAnsiTheme="majorBidi" w:cstheme="majorBidi"/>
        </w:rPr>
        <w:t>motivasyon</w:t>
      </w:r>
      <w:proofErr w:type="gramEnd"/>
      <w:r w:rsidR="00422F18" w:rsidRPr="0079003B">
        <w:rPr>
          <w:rFonts w:asciiTheme="majorBidi" w:hAnsiTheme="majorBidi" w:cstheme="majorBidi"/>
        </w:rPr>
        <w:t xml:space="preserve"> </w:t>
      </w:r>
      <w:r w:rsidRPr="0079003B">
        <w:rPr>
          <w:rFonts w:asciiTheme="majorBidi" w:hAnsiTheme="majorBidi" w:cstheme="majorBidi"/>
        </w:rPr>
        <w:t>çalışmalarının yapılması,</w:t>
      </w:r>
    </w:p>
    <w:p w:rsidR="0082349D" w:rsidRPr="0079003B" w:rsidRDefault="0082349D" w:rsidP="0079003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9003B">
        <w:rPr>
          <w:rFonts w:asciiTheme="majorBidi" w:hAnsiTheme="majorBidi" w:cstheme="majorBidi"/>
        </w:rPr>
        <w:t xml:space="preserve">YKS eylem planı çerçevesinde DYK değerlendirme toplantılarının yapılması, DYK devamsızlık riski taşıyan öğrencilere yönelik çalışmalar yürütülmesi ve </w:t>
      </w:r>
      <w:proofErr w:type="spellStart"/>
      <w:r w:rsidRPr="0079003B">
        <w:rPr>
          <w:rFonts w:asciiTheme="majorBidi" w:hAnsiTheme="majorBidi" w:cstheme="majorBidi"/>
        </w:rPr>
        <w:t>DYK'ya</w:t>
      </w:r>
      <w:proofErr w:type="spellEnd"/>
      <w:r w:rsidRPr="0079003B">
        <w:rPr>
          <w:rFonts w:asciiTheme="majorBidi" w:hAnsiTheme="majorBidi" w:cstheme="majorBidi"/>
        </w:rPr>
        <w:t xml:space="preserve"> katılan öğrencilere yönelik </w:t>
      </w:r>
      <w:proofErr w:type="gramStart"/>
      <w:r w:rsidRPr="0079003B">
        <w:rPr>
          <w:rFonts w:asciiTheme="majorBidi" w:hAnsiTheme="majorBidi" w:cstheme="majorBidi"/>
        </w:rPr>
        <w:t>motivasyon</w:t>
      </w:r>
      <w:proofErr w:type="gramEnd"/>
      <w:r w:rsidRPr="0079003B">
        <w:rPr>
          <w:rFonts w:asciiTheme="majorBidi" w:hAnsiTheme="majorBidi" w:cstheme="majorBidi"/>
        </w:rPr>
        <w:t xml:space="preserve"> amaçlı gezi, seminer çalışmalarının uygulanması,</w:t>
      </w:r>
    </w:p>
    <w:p w:rsidR="0082349D" w:rsidRPr="0079003B" w:rsidRDefault="0082349D" w:rsidP="0079003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9003B">
        <w:rPr>
          <w:rFonts w:asciiTheme="majorBidi" w:hAnsiTheme="majorBidi" w:cstheme="majorBidi"/>
        </w:rPr>
        <w:t>Üniversitelere hazırlık çalışmaları çerçevesinde örnek ve özgün uygulamaları olan rehber okullarımız ile akademik başarı bağlamında desteklenme kapsamına alınan paydaş okullarımızın iş birliği içerisinde yürüttüğü faaliyetlerin takip edilmesi,</w:t>
      </w:r>
    </w:p>
    <w:p w:rsidR="0082349D" w:rsidRPr="0079003B" w:rsidRDefault="0082349D" w:rsidP="0079003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9003B">
        <w:rPr>
          <w:rFonts w:asciiTheme="majorBidi" w:hAnsiTheme="majorBidi" w:cstheme="majorBidi"/>
        </w:rPr>
        <w:t>Hedef 2025 Proje Koordinatörümüzün organizasyonu sonucu oluşturulacak bir ekiple üniversite gezisi düzenlenmesi,</w:t>
      </w:r>
    </w:p>
    <w:p w:rsidR="0082349D" w:rsidRPr="0079003B" w:rsidRDefault="0082349D" w:rsidP="0079003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9003B">
        <w:rPr>
          <w:rFonts w:asciiTheme="majorBidi" w:hAnsiTheme="majorBidi" w:cstheme="majorBidi"/>
        </w:rPr>
        <w:lastRenderedPageBreak/>
        <w:t xml:space="preserve">12.sınıf öğrencilerine yönelik Rehberlik Servisi tarafından </w:t>
      </w:r>
      <w:proofErr w:type="gramStart"/>
      <w:r w:rsidRPr="0079003B">
        <w:rPr>
          <w:rFonts w:asciiTheme="majorBidi" w:hAnsiTheme="majorBidi" w:cstheme="majorBidi"/>
        </w:rPr>
        <w:t>motivasyon</w:t>
      </w:r>
      <w:proofErr w:type="gramEnd"/>
      <w:r w:rsidRPr="0079003B">
        <w:rPr>
          <w:rFonts w:asciiTheme="majorBidi" w:hAnsiTheme="majorBidi" w:cstheme="majorBidi"/>
        </w:rPr>
        <w:t xml:space="preserve"> seminerinin düzenlenmesi,</w:t>
      </w:r>
    </w:p>
    <w:p w:rsidR="0082349D" w:rsidRPr="0079003B" w:rsidRDefault="0082349D" w:rsidP="0079003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9003B">
        <w:rPr>
          <w:rFonts w:asciiTheme="majorBidi" w:hAnsiTheme="majorBidi" w:cstheme="majorBidi"/>
        </w:rPr>
        <w:t>YÖK Atlas, EBA, DOGM, OGM Materyal gibi sitelerin öğrenciler tarafından aktif kullanılmasının</w:t>
      </w:r>
      <w:r w:rsidR="00422F18" w:rsidRPr="0079003B">
        <w:rPr>
          <w:rFonts w:asciiTheme="majorBidi" w:hAnsiTheme="majorBidi" w:cstheme="majorBidi"/>
        </w:rPr>
        <w:t xml:space="preserve"> </w:t>
      </w:r>
      <w:r w:rsidRPr="0079003B">
        <w:rPr>
          <w:rFonts w:asciiTheme="majorBidi" w:hAnsiTheme="majorBidi" w:cstheme="majorBidi"/>
        </w:rPr>
        <w:t>sağlanması,</w:t>
      </w:r>
    </w:p>
    <w:p w:rsidR="0082349D" w:rsidRPr="0079003B" w:rsidRDefault="0082349D" w:rsidP="0079003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9003B">
        <w:rPr>
          <w:rFonts w:asciiTheme="majorBidi" w:hAnsiTheme="majorBidi" w:cstheme="majorBidi"/>
        </w:rPr>
        <w:t>Tüm bu faaliyetler ile ilgili öğretmen, öğrenci ve velilere yönelik bilgilendirme ve tanıtım toplantılarının yapılması, bu kapsamda afiş, broşür, sosyal medya çalışmalarının kullanılması</w:t>
      </w:r>
      <w:r w:rsidR="0079003B">
        <w:rPr>
          <w:rFonts w:asciiTheme="majorBidi" w:hAnsiTheme="majorBidi" w:cstheme="majorBidi"/>
        </w:rPr>
        <w:t xml:space="preserve"> </w:t>
      </w:r>
      <w:r w:rsidRPr="0079003B">
        <w:rPr>
          <w:rFonts w:asciiTheme="majorBidi" w:hAnsiTheme="majorBidi" w:cstheme="majorBidi"/>
        </w:rPr>
        <w:t>kararları alınmıştır.</w:t>
      </w:r>
    </w:p>
    <w:p w:rsidR="00422F18" w:rsidRPr="0079003B" w:rsidRDefault="00422F18" w:rsidP="00422F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</w:p>
    <w:p w:rsidR="0082349D" w:rsidRPr="0079003B" w:rsidRDefault="0082349D" w:rsidP="00422F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79003B">
        <w:rPr>
          <w:rFonts w:asciiTheme="majorBidi" w:hAnsiTheme="majorBidi" w:cstheme="majorBidi"/>
        </w:rPr>
        <w:t>Akademik Takip Komisyonu aşağıdaki kişilerden oluşturulmuştur.</w:t>
      </w:r>
    </w:p>
    <w:p w:rsidR="0082349D" w:rsidRPr="0079003B" w:rsidRDefault="0079003B" w:rsidP="0079003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82349D" w:rsidRPr="0079003B">
        <w:rPr>
          <w:rFonts w:asciiTheme="majorBidi" w:hAnsiTheme="majorBidi" w:cstheme="majorBidi"/>
        </w:rPr>
        <w:tab/>
      </w:r>
      <w:r w:rsidR="0082349D" w:rsidRPr="0079003B">
        <w:rPr>
          <w:rFonts w:asciiTheme="majorBidi" w:hAnsiTheme="majorBidi" w:cstheme="majorBidi"/>
        </w:rPr>
        <w:tab/>
      </w:r>
      <w:r w:rsidR="0082349D" w:rsidRPr="0079003B">
        <w:rPr>
          <w:rFonts w:asciiTheme="majorBidi" w:hAnsiTheme="majorBidi" w:cstheme="majorBidi"/>
        </w:rPr>
        <w:tab/>
      </w:r>
      <w:r w:rsidR="0082349D" w:rsidRPr="0079003B">
        <w:rPr>
          <w:rFonts w:asciiTheme="majorBidi" w:hAnsiTheme="majorBidi" w:cstheme="majorBidi"/>
        </w:rPr>
        <w:tab/>
      </w:r>
      <w:r w:rsidR="0082349D" w:rsidRPr="0079003B">
        <w:rPr>
          <w:rFonts w:asciiTheme="majorBidi" w:hAnsiTheme="majorBidi" w:cstheme="majorBidi"/>
        </w:rPr>
        <w:tab/>
      </w:r>
      <w:r w:rsidR="0082349D" w:rsidRPr="0079003B">
        <w:rPr>
          <w:rFonts w:asciiTheme="majorBidi" w:hAnsiTheme="majorBidi" w:cstheme="majorBidi"/>
        </w:rPr>
        <w:tab/>
      </w:r>
    </w:p>
    <w:p w:rsidR="0082349D" w:rsidRPr="0079003B" w:rsidRDefault="0082349D" w:rsidP="003E195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79003B">
        <w:rPr>
          <w:rFonts w:asciiTheme="majorBidi" w:hAnsiTheme="majorBidi" w:cstheme="majorBidi"/>
        </w:rPr>
        <w:tab/>
      </w:r>
      <w:r w:rsidR="007A24F9" w:rsidRPr="0079003B">
        <w:rPr>
          <w:rFonts w:asciiTheme="majorBidi" w:hAnsiTheme="majorBidi" w:cstheme="majorBidi"/>
        </w:rPr>
        <w:tab/>
      </w:r>
      <w:r w:rsidRPr="0079003B">
        <w:rPr>
          <w:rFonts w:asciiTheme="majorBidi" w:hAnsiTheme="majorBidi" w:cstheme="majorBidi"/>
        </w:rPr>
        <w:tab/>
      </w:r>
      <w:r w:rsidRPr="0079003B">
        <w:rPr>
          <w:rFonts w:asciiTheme="majorBidi" w:hAnsiTheme="majorBidi" w:cstheme="majorBidi"/>
        </w:rPr>
        <w:tab/>
      </w:r>
      <w:r w:rsidRPr="0079003B">
        <w:rPr>
          <w:rFonts w:asciiTheme="majorBidi" w:hAnsiTheme="majorBidi" w:cstheme="majorBidi"/>
        </w:rPr>
        <w:tab/>
      </w:r>
      <w:r w:rsidRPr="0079003B">
        <w:rPr>
          <w:rFonts w:asciiTheme="majorBidi" w:hAnsiTheme="majorBidi" w:cstheme="majorBidi"/>
        </w:rPr>
        <w:tab/>
      </w:r>
      <w:r w:rsidR="007A24F9" w:rsidRPr="0079003B">
        <w:rPr>
          <w:rFonts w:asciiTheme="majorBidi" w:hAnsiTheme="majorBidi" w:cstheme="majorBidi"/>
        </w:rPr>
        <w:t xml:space="preserve">           </w:t>
      </w:r>
    </w:p>
    <w:p w:rsidR="00453B3C" w:rsidRPr="0079003B" w:rsidRDefault="00453B3C" w:rsidP="00422F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E1957" w:rsidRPr="0079003B" w:rsidTr="003E1957">
        <w:trPr>
          <w:jc w:val="center"/>
        </w:trPr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9003B">
              <w:rPr>
                <w:rFonts w:asciiTheme="majorBidi" w:hAnsiTheme="majorBidi" w:cstheme="majorBidi"/>
              </w:rPr>
              <w:t>İSMAİL AYKUT</w:t>
            </w:r>
          </w:p>
        </w:tc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9003B">
              <w:rPr>
                <w:rFonts w:asciiTheme="majorBidi" w:hAnsiTheme="majorBidi" w:cstheme="majorBidi"/>
              </w:rPr>
              <w:t>ERKAN YEL</w:t>
            </w:r>
          </w:p>
        </w:tc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9003B">
              <w:rPr>
                <w:rFonts w:asciiTheme="majorBidi" w:hAnsiTheme="majorBidi" w:cstheme="majorBidi"/>
              </w:rPr>
              <w:t>MURAT ÖZTUZCU</w:t>
            </w:r>
          </w:p>
        </w:tc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9003B">
              <w:rPr>
                <w:rFonts w:asciiTheme="majorBidi" w:hAnsiTheme="majorBidi" w:cstheme="majorBidi"/>
              </w:rPr>
              <w:t>GÖKMEN ELÇİ</w:t>
            </w:r>
          </w:p>
        </w:tc>
      </w:tr>
      <w:tr w:rsidR="003E1957" w:rsidRPr="0079003B" w:rsidTr="003E1957">
        <w:trPr>
          <w:jc w:val="center"/>
        </w:trPr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9003B">
              <w:rPr>
                <w:rFonts w:asciiTheme="majorBidi" w:hAnsiTheme="majorBidi" w:cstheme="majorBidi"/>
              </w:rPr>
              <w:t>12A SNF. ÖĞRT</w:t>
            </w:r>
          </w:p>
        </w:tc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9003B">
              <w:rPr>
                <w:rFonts w:asciiTheme="majorBidi" w:hAnsiTheme="majorBidi" w:cstheme="majorBidi"/>
              </w:rPr>
              <w:t>12B SNF.</w:t>
            </w:r>
            <w:r w:rsidR="00D12530">
              <w:rPr>
                <w:rFonts w:asciiTheme="majorBidi" w:hAnsiTheme="majorBidi" w:cstheme="majorBidi"/>
              </w:rPr>
              <w:t xml:space="preserve"> </w:t>
            </w:r>
            <w:r w:rsidRPr="0079003B">
              <w:rPr>
                <w:rFonts w:asciiTheme="majorBidi" w:hAnsiTheme="majorBidi" w:cstheme="majorBidi"/>
              </w:rPr>
              <w:t>ÖĞRT.</w:t>
            </w:r>
          </w:p>
        </w:tc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9003B">
              <w:rPr>
                <w:rFonts w:asciiTheme="majorBidi" w:hAnsiTheme="majorBidi" w:cstheme="majorBidi"/>
              </w:rPr>
              <w:t>12CSNF.</w:t>
            </w:r>
            <w:r w:rsidR="00D12530">
              <w:rPr>
                <w:rFonts w:asciiTheme="majorBidi" w:hAnsiTheme="majorBidi" w:cstheme="majorBidi"/>
              </w:rPr>
              <w:t xml:space="preserve"> </w:t>
            </w:r>
            <w:r w:rsidRPr="0079003B">
              <w:rPr>
                <w:rFonts w:asciiTheme="majorBidi" w:hAnsiTheme="majorBidi" w:cstheme="majorBidi"/>
              </w:rPr>
              <w:t>ÖĞRT</w:t>
            </w:r>
          </w:p>
        </w:tc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9003B">
              <w:rPr>
                <w:rFonts w:asciiTheme="majorBidi" w:hAnsiTheme="majorBidi" w:cstheme="majorBidi"/>
              </w:rPr>
              <w:t>12D SNF.</w:t>
            </w:r>
            <w:r w:rsidR="00D12530">
              <w:rPr>
                <w:rFonts w:asciiTheme="majorBidi" w:hAnsiTheme="majorBidi" w:cstheme="majorBidi"/>
              </w:rPr>
              <w:t xml:space="preserve"> </w:t>
            </w:r>
            <w:r w:rsidRPr="0079003B">
              <w:rPr>
                <w:rFonts w:asciiTheme="majorBidi" w:hAnsiTheme="majorBidi" w:cstheme="majorBidi"/>
              </w:rPr>
              <w:t>ÖĞRT</w:t>
            </w:r>
          </w:p>
        </w:tc>
      </w:tr>
      <w:tr w:rsidR="003E1957" w:rsidRPr="0079003B" w:rsidTr="003E1957">
        <w:trPr>
          <w:trHeight w:val="1014"/>
          <w:jc w:val="center"/>
        </w:trPr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12530" w:rsidRPr="0079003B" w:rsidTr="006842DA">
        <w:trPr>
          <w:jc w:val="center"/>
        </w:trPr>
        <w:tc>
          <w:tcPr>
            <w:tcW w:w="4606" w:type="dxa"/>
            <w:gridSpan w:val="2"/>
          </w:tcPr>
          <w:p w:rsidR="00D12530" w:rsidRPr="0079003B" w:rsidRDefault="00D12530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9003B">
              <w:rPr>
                <w:rFonts w:asciiTheme="majorBidi" w:hAnsiTheme="majorBidi" w:cstheme="majorBidi"/>
              </w:rPr>
              <w:t>MURAT İHSANOĞLU</w:t>
            </w:r>
          </w:p>
        </w:tc>
        <w:tc>
          <w:tcPr>
            <w:tcW w:w="4606" w:type="dxa"/>
            <w:gridSpan w:val="2"/>
          </w:tcPr>
          <w:p w:rsidR="00D12530" w:rsidRPr="0079003B" w:rsidRDefault="00D12530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9003B">
              <w:rPr>
                <w:rFonts w:asciiTheme="majorBidi" w:hAnsiTheme="majorBidi" w:cstheme="majorBidi"/>
              </w:rPr>
              <w:t>HİDAYET ATASOY</w:t>
            </w:r>
          </w:p>
        </w:tc>
      </w:tr>
      <w:tr w:rsidR="00D12530" w:rsidRPr="0079003B" w:rsidTr="00230370">
        <w:trPr>
          <w:jc w:val="center"/>
        </w:trPr>
        <w:tc>
          <w:tcPr>
            <w:tcW w:w="4606" w:type="dxa"/>
            <w:gridSpan w:val="2"/>
          </w:tcPr>
          <w:p w:rsidR="00D12530" w:rsidRPr="0079003B" w:rsidRDefault="00D12530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9003B">
              <w:rPr>
                <w:rFonts w:asciiTheme="majorBidi" w:hAnsiTheme="majorBidi" w:cstheme="majorBidi"/>
              </w:rPr>
              <w:t>ÖĞR.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9003B">
              <w:rPr>
                <w:rFonts w:asciiTheme="majorBidi" w:hAnsiTheme="majorBidi" w:cstheme="majorBidi"/>
              </w:rPr>
              <w:t xml:space="preserve">İŞLERİ </w:t>
            </w:r>
            <w:proofErr w:type="gramStart"/>
            <w:r w:rsidRPr="0079003B">
              <w:rPr>
                <w:rFonts w:asciiTheme="majorBidi" w:hAnsiTheme="majorBidi" w:cstheme="majorBidi"/>
              </w:rPr>
              <w:t>MD.YRD</w:t>
            </w:r>
            <w:proofErr w:type="gramEnd"/>
            <w:r w:rsidRPr="0079003B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606" w:type="dxa"/>
            <w:gridSpan w:val="2"/>
          </w:tcPr>
          <w:p w:rsidR="00D12530" w:rsidRPr="0079003B" w:rsidRDefault="00D12530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9003B">
              <w:rPr>
                <w:rFonts w:asciiTheme="majorBidi" w:hAnsiTheme="majorBidi" w:cstheme="majorBidi"/>
              </w:rPr>
              <w:t>PDR ÖĞRT.</w:t>
            </w:r>
          </w:p>
        </w:tc>
      </w:tr>
      <w:tr w:rsidR="003E1957" w:rsidRPr="0079003B" w:rsidTr="003E1957">
        <w:trPr>
          <w:trHeight w:val="1183"/>
          <w:jc w:val="center"/>
        </w:trPr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E1957" w:rsidRPr="0079003B" w:rsidTr="003E1957">
        <w:trPr>
          <w:jc w:val="center"/>
        </w:trPr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  <w:gridSpan w:val="2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9003B">
              <w:rPr>
                <w:rFonts w:asciiTheme="majorBidi" w:hAnsiTheme="majorBidi" w:cstheme="majorBidi"/>
              </w:rPr>
              <w:t>İSMAİL ÇETİN</w:t>
            </w:r>
          </w:p>
        </w:tc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E1957" w:rsidRPr="0079003B" w:rsidTr="003E1957">
        <w:trPr>
          <w:jc w:val="center"/>
        </w:trPr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  <w:gridSpan w:val="2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9003B">
              <w:rPr>
                <w:rFonts w:asciiTheme="majorBidi" w:hAnsiTheme="majorBidi" w:cstheme="majorBidi"/>
              </w:rPr>
              <w:t>OKUL MÜDÜRÜ</w:t>
            </w:r>
          </w:p>
        </w:tc>
        <w:tc>
          <w:tcPr>
            <w:tcW w:w="2303" w:type="dxa"/>
          </w:tcPr>
          <w:p w:rsidR="003E1957" w:rsidRPr="0079003B" w:rsidRDefault="003E1957" w:rsidP="003E19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453B3C" w:rsidRPr="0079003B" w:rsidRDefault="00453B3C" w:rsidP="00422F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</w:p>
    <w:p w:rsidR="00453B3C" w:rsidRPr="0079003B" w:rsidRDefault="00453B3C" w:rsidP="00422F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</w:p>
    <w:p w:rsidR="00453B3C" w:rsidRPr="0079003B" w:rsidRDefault="00453B3C" w:rsidP="00422F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</w:p>
    <w:p w:rsidR="00453B3C" w:rsidRPr="0079003B" w:rsidRDefault="00453B3C" w:rsidP="00422F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</w:p>
    <w:p w:rsidR="00453B3C" w:rsidRPr="0079003B" w:rsidRDefault="00453B3C" w:rsidP="00422F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</w:p>
    <w:sectPr w:rsidR="00453B3C" w:rsidRPr="00790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0732"/>
    <w:multiLevelType w:val="hybridMultilevel"/>
    <w:tmpl w:val="53BA87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833BE"/>
    <w:multiLevelType w:val="hybridMultilevel"/>
    <w:tmpl w:val="99D289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8255E"/>
    <w:multiLevelType w:val="hybridMultilevel"/>
    <w:tmpl w:val="640CAB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24"/>
    <w:rsid w:val="003E1957"/>
    <w:rsid w:val="00422F18"/>
    <w:rsid w:val="00453B3C"/>
    <w:rsid w:val="0079003B"/>
    <w:rsid w:val="007A24F9"/>
    <w:rsid w:val="007B529E"/>
    <w:rsid w:val="007B61B7"/>
    <w:rsid w:val="0082349D"/>
    <w:rsid w:val="008E5C38"/>
    <w:rsid w:val="00AD1343"/>
    <w:rsid w:val="00AD7D24"/>
    <w:rsid w:val="00D12530"/>
    <w:rsid w:val="00F6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1343"/>
    <w:pPr>
      <w:ind w:left="720"/>
      <w:contextualSpacing/>
    </w:pPr>
  </w:style>
  <w:style w:type="table" w:styleId="TabloKlavuzu">
    <w:name w:val="Table Grid"/>
    <w:basedOn w:val="NormalTablo"/>
    <w:uiPriority w:val="59"/>
    <w:rsid w:val="003E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1343"/>
    <w:pPr>
      <w:ind w:left="720"/>
      <w:contextualSpacing/>
    </w:pPr>
  </w:style>
  <w:style w:type="table" w:styleId="TabloKlavuzu">
    <w:name w:val="Table Grid"/>
    <w:basedOn w:val="NormalTablo"/>
    <w:uiPriority w:val="59"/>
    <w:rsid w:val="003E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10</cp:revision>
  <dcterms:created xsi:type="dcterms:W3CDTF">2024-10-30T07:33:00Z</dcterms:created>
  <dcterms:modified xsi:type="dcterms:W3CDTF">2024-11-07T08:03:00Z</dcterms:modified>
</cp:coreProperties>
</file>